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Приложение 22</w:t>
      </w:r>
    </w:p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к Закону Ханты-Мансийского</w:t>
      </w:r>
    </w:p>
    <w:p w:rsidR="005B270F" w:rsidRDefault="00697822">
      <w:pPr>
        <w:ind w:left="1190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автономного округа – Югры</w:t>
      </w:r>
    </w:p>
    <w:p w:rsidR="005B270F" w:rsidRDefault="00697822">
      <w:pPr>
        <w:ind w:left="11906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7A31C0">
        <w:rPr>
          <w:sz w:val="22"/>
          <w:szCs w:val="22"/>
        </w:rPr>
        <w:t>28</w:t>
      </w:r>
      <w:r>
        <w:rPr>
          <w:sz w:val="22"/>
          <w:szCs w:val="22"/>
        </w:rPr>
        <w:t xml:space="preserve"> </w:t>
      </w:r>
      <w:r w:rsidR="007A31C0">
        <w:rPr>
          <w:sz w:val="22"/>
          <w:szCs w:val="22"/>
        </w:rPr>
        <w:t>ноября</w:t>
      </w:r>
      <w:r>
        <w:rPr>
          <w:sz w:val="22"/>
          <w:szCs w:val="22"/>
        </w:rPr>
        <w:t xml:space="preserve"> 2024 года № </w:t>
      </w:r>
      <w:r w:rsidR="007A31C0">
        <w:rPr>
          <w:sz w:val="22"/>
          <w:szCs w:val="22"/>
        </w:rPr>
        <w:t>80-оз</w:t>
      </w:r>
      <w:bookmarkStart w:id="0" w:name="_GoBack"/>
      <w:bookmarkEnd w:id="0"/>
    </w:p>
    <w:p w:rsidR="005B270F" w:rsidRDefault="005B270F">
      <w:pPr>
        <w:tabs>
          <w:tab w:val="left" w:pos="5760"/>
        </w:tabs>
        <w:ind w:left="5670"/>
        <w:rPr>
          <w:sz w:val="22"/>
          <w:szCs w:val="22"/>
        </w:rPr>
      </w:pPr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Дополнительные нормативы отчислений в бюджеты муниципальных районов и городских округов </w:t>
      </w:r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Ханты-Мансийского автономного округа – Югры от налога на доходы физических лиц для полной (частичной) замены дотаций </w:t>
      </w:r>
    </w:p>
    <w:p w:rsidR="005B270F" w:rsidRDefault="0069782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 выравнивание бюджетной обеспеченности муниципальных районов (городских округов) на 2025 год</w:t>
      </w:r>
    </w:p>
    <w:p w:rsidR="005B270F" w:rsidRDefault="005B270F">
      <w:pPr>
        <w:jc w:val="center"/>
        <w:rPr>
          <w:b/>
          <w:sz w:val="22"/>
          <w:szCs w:val="22"/>
        </w:rPr>
      </w:pPr>
    </w:p>
    <w:p w:rsidR="005B270F" w:rsidRDefault="00697822">
      <w:pPr>
        <w:ind w:left="12036" w:right="-31" w:firstLine="708"/>
        <w:jc w:val="right"/>
        <w:rPr>
          <w:sz w:val="22"/>
          <w:szCs w:val="22"/>
        </w:rPr>
      </w:pPr>
      <w:r>
        <w:rPr>
          <w:sz w:val="22"/>
          <w:szCs w:val="22"/>
        </w:rPr>
        <w:t>(процентов)</w:t>
      </w:r>
    </w:p>
    <w:tbl>
      <w:tblPr>
        <w:tblW w:w="14742" w:type="dxa"/>
        <w:jc w:val="right"/>
        <w:tblLayout w:type="fixed"/>
        <w:tblLook w:val="04A0" w:firstRow="1" w:lastRow="0" w:firstColumn="1" w:lastColumn="0" w:noHBand="0" w:noVBand="1"/>
      </w:tblPr>
      <w:tblGrid>
        <w:gridCol w:w="2692"/>
        <w:gridCol w:w="3752"/>
        <w:gridCol w:w="3478"/>
        <w:gridCol w:w="1606"/>
        <w:gridCol w:w="1607"/>
        <w:gridCol w:w="1607"/>
      </w:tblGrid>
      <w:tr w:rsidR="005B270F">
        <w:trPr>
          <w:trHeight w:val="269"/>
          <w:jc w:val="right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района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(городского округа)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</w:tr>
      <w:tr w:rsidR="005B270F">
        <w:trPr>
          <w:trHeight w:val="945"/>
          <w:jc w:val="right"/>
        </w:trPr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5B27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равной 2,4 миллиона рублей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или менее 2,4 миллиона рублей,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том числе в части суммы налога, относящейся к сумме налоговых баз, указанных в пункте 6 статьи 210,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абзаце девятом пункта 3 статьи 224 Налогового кодекса Российской Федерации; в части суммы налога, относящейся к сумме налоговых баз, указанных в пунктах 6.1 и 6.2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статьи 210 Налогового кодекса Российской Федерации,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превышающей 5 миллионов рублей; в виде фиксированных авансовых платежей с доходов, полученных иностранными гражданами, осуществляющими трудовую деятельность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соответствии со статьей 227.1 Налогового кодекса Российской Федерации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соответствующих доходов за налоговый период, превышающей 2,4 миллиона рублей и составляющей не более 5 миллионов рублей; в части суммы налога, относящейся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сумме налоговых баз, указанных в пункте 6 статьи 210, в абзаце девятом пункта 3 статьи 224 Налогового кодекса Российской Федерации, превышающей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 миллиона рублей;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налога, превышающей 650 тысяч рублей, относящейся к сумме налоговых баз, указанных в </w:t>
            </w:r>
            <w:r w:rsidR="009A231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 xml:space="preserve">пунктах 6.1 и 6.2 статьи 210 Налогового кодекса Российской Федерации, превышающей </w:t>
            </w:r>
            <w:r w:rsidR="009A2314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5 миллионов рублей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части суммы соответству-ющих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5 миллионов рублей и составляющей не более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миллионов рублей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</w:t>
            </w:r>
            <w:r w:rsidR="009A231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ствующих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20 миллионов рублей и составляющей не более </w:t>
            </w:r>
          </w:p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миллионов рублей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 w:rsidP="009A2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суммы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соответ</w:t>
            </w:r>
            <w:r w:rsidR="009A2314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ствующих доходов за налоговый период, </w:t>
            </w:r>
            <w:r>
              <w:rPr>
                <w:color w:val="000000"/>
                <w:spacing w:val="-4"/>
                <w:sz w:val="22"/>
                <w:szCs w:val="22"/>
              </w:rPr>
              <w:t>превышающей</w:t>
            </w:r>
            <w:r>
              <w:rPr>
                <w:color w:val="000000"/>
                <w:sz w:val="22"/>
                <w:szCs w:val="22"/>
              </w:rPr>
              <w:t xml:space="preserve"> 50 миллионов рублей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4,66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7,04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0F" w:rsidRDefault="006978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Нижневартовск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11,26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Мегион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Урай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25,79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23,80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Когалым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4,28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Радужный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9,38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Лангепас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27,07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Нягань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18,12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Пыть-Ях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3,47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Покачи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26,13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Югорск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Белоярский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20,23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Березовский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2,32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Кондинский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34,89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Сургутский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4,87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5B270F">
        <w:trPr>
          <w:cantSplit/>
          <w:trHeight w:val="20"/>
          <w:jc w:val="right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70F" w:rsidRDefault="006978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Нефтеюганский муниципальный район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70F" w:rsidRDefault="0069782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</w:tbl>
    <w:p w:rsidR="005B270F" w:rsidRDefault="005B270F">
      <w:pPr>
        <w:rPr>
          <w:b/>
          <w:sz w:val="22"/>
          <w:szCs w:val="22"/>
        </w:rPr>
      </w:pPr>
    </w:p>
    <w:p w:rsidR="005B270F" w:rsidRDefault="005B270F"/>
    <w:sectPr w:rsidR="005B270F" w:rsidSect="009A2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820" w:bottom="851" w:left="1134" w:header="567" w:footer="567" w:gutter="0"/>
      <w:pgNumType w:start="147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69A" w:rsidRDefault="00B8569A">
      <w:r>
        <w:separator/>
      </w:r>
    </w:p>
  </w:endnote>
  <w:endnote w:type="continuationSeparator" w:id="0">
    <w:p w:rsidR="00B8569A" w:rsidRDefault="00B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0F" w:rsidRDefault="005B270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0F" w:rsidRDefault="005B270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0F" w:rsidRDefault="005B270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69A" w:rsidRDefault="00B8569A">
      <w:r>
        <w:separator/>
      </w:r>
    </w:p>
  </w:footnote>
  <w:footnote w:type="continuationSeparator" w:id="0">
    <w:p w:rsidR="00B8569A" w:rsidRDefault="00B85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70F" w:rsidRDefault="00697822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5B270F" w:rsidRDefault="005B270F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6914228"/>
      <w:docPartObj>
        <w:docPartGallery w:val="Page Numbers (Top of Page)"/>
        <w:docPartUnique/>
      </w:docPartObj>
    </w:sdtPr>
    <w:sdtEndPr/>
    <w:sdtContent>
      <w:p w:rsidR="005B270F" w:rsidRDefault="0069782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1C0">
          <w:rPr>
            <w:noProof/>
          </w:rPr>
          <w:t>1474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6912208"/>
      <w:docPartObj>
        <w:docPartGallery w:val="Page Numbers (Top of Page)"/>
        <w:docPartUnique/>
      </w:docPartObj>
    </w:sdtPr>
    <w:sdtEndPr/>
    <w:sdtContent>
      <w:p w:rsidR="005B270F" w:rsidRDefault="0069782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1C0">
          <w:rPr>
            <w:noProof/>
          </w:rPr>
          <w:t>1473</w:t>
        </w:r>
        <w:r>
          <w:fldChar w:fldCharType="end"/>
        </w:r>
      </w:p>
    </w:sdtContent>
  </w:sdt>
  <w:p w:rsidR="005B270F" w:rsidRDefault="005B270F">
    <w:pPr>
      <w:pStyle w:val="af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0F"/>
    <w:rsid w:val="005B270F"/>
    <w:rsid w:val="00697822"/>
    <w:rsid w:val="007A31C0"/>
    <w:rsid w:val="009A2314"/>
    <w:rsid w:val="00B8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C699-AB32-4A76-A309-B650267F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styleId="af8">
    <w:name w:val="page number"/>
    <w:basedOn w:val="a0"/>
  </w:style>
  <w:style w:type="paragraph" w:styleId="af9">
    <w:name w:val="footer"/>
    <w:basedOn w:val="a"/>
    <w:link w:val="afa"/>
    <w:uiPriority w:val="9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A2CFA-D45F-4212-9EBF-0ADDB354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Красноперова Дарья Александровна</cp:lastModifiedBy>
  <cp:revision>12</cp:revision>
  <cp:lastPrinted>2024-11-26T10:49:00Z</cp:lastPrinted>
  <dcterms:created xsi:type="dcterms:W3CDTF">2024-11-13T10:56:00Z</dcterms:created>
  <dcterms:modified xsi:type="dcterms:W3CDTF">2024-11-29T10:08:00Z</dcterms:modified>
</cp:coreProperties>
</file>